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119540">
      <w:pPr>
        <w:pStyle w:val="7"/>
        <w:ind w:firstLine="0" w:firstLineChars="0"/>
        <w:jc w:val="center"/>
        <w:outlineLvl w:val="0"/>
        <w:rPr>
          <w:rStyle w:val="8"/>
          <w:rFonts w:hint="eastAsia" w:ascii="黑体" w:hAnsi="黑体" w:eastAsia="黑体"/>
          <w:b w:val="0"/>
          <w:bCs w:val="0"/>
          <w:highlight w:val="none"/>
          <w:lang w:val="en-US" w:eastAsia="zh-CN"/>
        </w:rPr>
      </w:pPr>
      <w:bookmarkStart w:id="9" w:name="_GoBack"/>
      <w:bookmarkEnd w:id="9"/>
      <w:bookmarkStart w:id="0" w:name="_Toc11873"/>
      <w:bookmarkStart w:id="1" w:name="_Toc30685"/>
      <w:bookmarkStart w:id="2" w:name="_Toc13299"/>
      <w:bookmarkStart w:id="3" w:name="_Toc6193"/>
      <w:bookmarkStart w:id="4" w:name="_Toc26636"/>
      <w:r>
        <w:rPr>
          <w:rStyle w:val="8"/>
          <w:rFonts w:hint="eastAsia" w:ascii="黑体" w:hAnsi="黑体" w:eastAsia="黑体"/>
          <w:b w:val="0"/>
          <w:bCs w:val="0"/>
          <w:highlight w:val="none"/>
        </w:rPr>
        <w:t xml:space="preserve">第三章 </w:t>
      </w:r>
      <w:bookmarkEnd w:id="0"/>
      <w:bookmarkEnd w:id="1"/>
      <w:bookmarkEnd w:id="2"/>
      <w:bookmarkEnd w:id="3"/>
      <w:bookmarkEnd w:id="4"/>
      <w:bookmarkStart w:id="5" w:name="_Toc31109"/>
      <w:r>
        <w:rPr>
          <w:rStyle w:val="8"/>
          <w:rFonts w:hint="eastAsia" w:ascii="黑体" w:hAnsi="黑体" w:eastAsia="黑体"/>
          <w:b w:val="0"/>
          <w:bCs w:val="0"/>
          <w:highlight w:val="none"/>
          <w:lang w:val="en-US" w:eastAsia="zh-CN"/>
        </w:rPr>
        <w:t>需求任务书</w:t>
      </w:r>
    </w:p>
    <w:p w14:paraId="578FAF35">
      <w:pPr>
        <w:pStyle w:val="7"/>
        <w:ind w:firstLine="0" w:firstLineChars="0"/>
        <w:jc w:val="center"/>
        <w:outlineLvl w:val="0"/>
        <w:rPr>
          <w:rStyle w:val="8"/>
          <w:rFonts w:hint="eastAsia" w:ascii="黑体" w:hAnsi="黑体" w:eastAsia="黑体"/>
          <w:b w:val="0"/>
          <w:bCs w:val="0"/>
          <w:highlight w:val="none"/>
          <w:lang w:val="en-US" w:eastAsia="zh-CN"/>
        </w:rPr>
      </w:pPr>
    </w:p>
    <w:bookmarkEnd w:id="5"/>
    <w:p w14:paraId="7DBE7088">
      <w:pPr>
        <w:ind w:firstLine="482" w:firstLineChars="200"/>
        <w:rPr>
          <w:rFonts w:hint="eastAsia" w:asciiTheme="minorEastAsia" w:hAnsiTheme="minorEastAsia" w:eastAsiaTheme="minorEastAsia" w:cstheme="minorEastAsia"/>
          <w:b/>
          <w:bCs/>
          <w:kern w:val="2"/>
          <w:sz w:val="24"/>
          <w:szCs w:val="24"/>
          <w:lang w:val="en-US" w:eastAsia="zh-CN"/>
        </w:rPr>
      </w:pPr>
      <w:bookmarkStart w:id="6" w:name="_Toc10583"/>
      <w:bookmarkStart w:id="7" w:name="_Toc4248"/>
      <w:bookmarkStart w:id="8" w:name="_Toc20030"/>
      <w:r>
        <w:rPr>
          <w:rFonts w:hint="eastAsia" w:asciiTheme="minorEastAsia" w:hAnsiTheme="minorEastAsia" w:eastAsiaTheme="minorEastAsia" w:cstheme="minorEastAsia"/>
          <w:b/>
          <w:bCs/>
          <w:kern w:val="2"/>
          <w:sz w:val="24"/>
          <w:szCs w:val="24"/>
          <w:lang w:val="en-US" w:eastAsia="zh-CN"/>
        </w:rPr>
        <w:t>一、项目概况</w:t>
      </w:r>
    </w:p>
    <w:p w14:paraId="5EBB09F7">
      <w:pPr>
        <w:ind w:firstLine="480" w:firstLineChars="200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  <w:t>为推进海南师范大学、琼台师范学院学生公寓区资产回购工作，需对海南师范大学、琼台师范学院31栋建筑物，建筑面积总142947.05平方米开展测绘工作。</w:t>
      </w:r>
    </w:p>
    <w:p w14:paraId="4E71CBBF">
      <w:pPr>
        <w:ind w:firstLine="482" w:firstLineChars="200"/>
        <w:rPr>
          <w:rFonts w:hint="default" w:asciiTheme="minorEastAsia" w:hAnsiTheme="minorEastAsia" w:eastAsiaTheme="minorEastAsia" w:cstheme="minorEastAsia"/>
          <w:b/>
          <w:bCs/>
          <w:kern w:val="2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2"/>
          <w:sz w:val="24"/>
          <w:szCs w:val="24"/>
          <w:lang w:val="en-US" w:eastAsia="zh-CN"/>
        </w:rPr>
        <w:t>二、服务内容</w:t>
      </w:r>
    </w:p>
    <w:p w14:paraId="6440851A">
      <w:pPr>
        <w:ind w:firstLine="480" w:firstLineChars="200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lang w:val="en-US" w:eastAsia="zh-CN"/>
        </w:rPr>
        <w:t>1.房屋面积测绘报告：严格遵循国家及地方现行的测绘标准与规范，运用先进的测绘技术和设备，对公寓区内每栋建筑物的房屋面积进行精确测量。测量过程需全面涵盖套内建筑面积、公摊面积等各项关键指标，最终出具内容规范、数据详实、格式标准的房屋面积测绘报告。</w:t>
      </w:r>
    </w:p>
    <w:p w14:paraId="70E0493B">
      <w:pPr>
        <w:ind w:firstLine="480" w:firstLineChars="200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lang w:val="en-US" w:eastAsia="zh-CN"/>
        </w:rPr>
        <w:t>2.规划放验线工作：依据项目的规划设计方案以及相关规划审批文件，在项目建设现场进行精准的规划放验线作业。通过专业的测量仪器和技术手段，确定建筑物的平面位置、高程等关键要素，确保建筑物的建设位置、尺寸等完全符合规划要求，并及时提供放验线测量成果报告。</w:t>
      </w:r>
    </w:p>
    <w:p w14:paraId="2681F1F4">
      <w:pPr>
        <w:ind w:firstLine="480" w:firstLineChars="200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lang w:val="en-US" w:eastAsia="zh-CN"/>
        </w:rPr>
        <w:t>3.经济指标核算：对公寓区土地及建筑物的多项重要经济指标进行科学、准确的核算。核算内容包括但不限于容积率、建筑密度、绿地率、建筑基底面积等，为项目的资产价值评估和后续规划管理提供有力的数据支持。核算过程需严格遵循相关经济指标计算规则和标准，确保数据的真实性和可靠性。</w:t>
      </w:r>
    </w:p>
    <w:p w14:paraId="2E7693DC">
      <w:pPr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lang w:val="en-US" w:eastAsia="zh-CN"/>
        </w:rPr>
        <w:t>4.规划竣工测绘：开展全面的规划竣工测绘工作。对建筑物的实际建成情况进行详细测绘，包括建筑位置、层数、高度、外立面等，与规划审批内容进行对比分析，出具规划竣工测绘成果文件。该文件需满足不动产中心等相关部门的审查要求，确保项目能够顺利通过竣工验收和产权登记。</w:t>
      </w:r>
    </w:p>
    <w:p w14:paraId="35439151">
      <w:pPr>
        <w:ind w:firstLine="482" w:firstLineChars="200"/>
        <w:rPr>
          <w:rFonts w:hint="eastAsia" w:asciiTheme="minorEastAsia" w:hAnsiTheme="minorEastAsia" w:eastAsiaTheme="minorEastAsia" w:cstheme="minorEastAsia"/>
          <w:b/>
          <w:bCs/>
          <w:kern w:val="2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2"/>
          <w:sz w:val="24"/>
          <w:szCs w:val="24"/>
          <w:lang w:val="en-US" w:eastAsia="zh-CN"/>
        </w:rPr>
        <w:t>三、服务需求</w:t>
      </w:r>
    </w:p>
    <w:p w14:paraId="5014B509">
      <w:pPr>
        <w:ind w:firstLine="480" w:firstLineChars="200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lang w:val="en-US" w:eastAsia="zh-CN"/>
        </w:rPr>
        <w:t>1.服务团队：供应商应组建专业素质高、经验丰富的服务团队，项目负责人需具备注册测绘师资格证书或测绘专业中级（含）以上职称，每所学校派遣一支队伍进场测绘并全程参与项目的实施与管理。</w:t>
      </w:r>
    </w:p>
    <w:p w14:paraId="66BA6D8E">
      <w:pPr>
        <w:ind w:firstLine="480" w:firstLineChars="200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lang w:val="en-US" w:eastAsia="zh-CN"/>
        </w:rPr>
        <w:t>2.服务期限：自合同签订之日起，35日历天内完成全部测绘工作并提交合格的成果文件。如遇不可抗力等特殊情况，需提前5个工作日书面告知采购人，并提供合理的工期调整方案。</w:t>
      </w:r>
    </w:p>
    <w:p w14:paraId="6BAD18BA">
      <w:pPr>
        <w:ind w:firstLine="480" w:firstLineChars="200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lang w:val="en-US" w:eastAsia="zh-CN"/>
        </w:rPr>
        <w:t>3.质量保证：供应商应建立完善的质量保证体系，对测绘工作的各个环节进行严格的质量把控。成果文件需经过内部多级审核，确保数据准确、内容完整、格式规范。在成果文件提交后的 15天内，如发现因测绘工作导致的质量问题，供应商应免费进行修正和完善。</w:t>
      </w:r>
    </w:p>
    <w:p w14:paraId="7868CC6E">
      <w:pPr>
        <w:ind w:firstLine="480" w:firstLineChars="200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lang w:val="en-US" w:eastAsia="zh-CN"/>
        </w:rPr>
        <w:t>4.数据安全：严格遵守国家有关数据安全和保密的法律法规，对在项目实施过程中获取的所有数据和资料进行妥善保管，采取有效的安全防护措施，防止数据泄露和丢失。项目结束后，按照采购人要求及时归还或销毁相关数据和资料。</w:t>
      </w:r>
    </w:p>
    <w:p w14:paraId="3D3FFAFC">
      <w:pPr>
        <w:ind w:firstLine="482" w:firstLineChars="200"/>
        <w:rPr>
          <w:rFonts w:hint="eastAsia" w:asciiTheme="minorEastAsia" w:hAnsiTheme="minorEastAsia" w:eastAsiaTheme="minorEastAsia" w:cstheme="minorEastAsia"/>
          <w:b/>
          <w:bCs/>
          <w:kern w:val="2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2"/>
          <w:sz w:val="24"/>
          <w:szCs w:val="24"/>
          <w:lang w:val="en-US" w:eastAsia="zh-CN"/>
        </w:rPr>
        <w:t>四、验收标准</w:t>
      </w:r>
    </w:p>
    <w:p w14:paraId="35922D37">
      <w:pPr>
        <w:ind w:firstLine="480" w:firstLineChars="200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lang w:val="en-US" w:eastAsia="zh-CN"/>
        </w:rPr>
        <w:t>1.成果文件需符合国家及地方现行的测绘标准、规范以及不动产中心等相关部门的审查要求。</w:t>
      </w:r>
    </w:p>
    <w:p w14:paraId="76634B1C">
      <w:pPr>
        <w:ind w:firstLine="480" w:firstLineChars="200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lang w:val="en-US" w:eastAsia="zh-CN"/>
        </w:rPr>
        <w:t>2.如验收不合格，供应商应在采购人规定的时间内进行整改，直至验收合格为止。整改产生的费用由供应商自行承担。</w:t>
      </w:r>
    </w:p>
    <w:p w14:paraId="799744B1">
      <w:pPr>
        <w:ind w:firstLine="482" w:firstLineChars="200"/>
        <w:rPr>
          <w:rFonts w:hint="eastAsia" w:asciiTheme="minorEastAsia" w:hAnsiTheme="minorEastAsia" w:eastAsiaTheme="minorEastAsia" w:cstheme="minorEastAsia"/>
          <w:b/>
          <w:bCs/>
          <w:kern w:val="2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2"/>
          <w:sz w:val="24"/>
          <w:szCs w:val="24"/>
          <w:lang w:val="en-US" w:eastAsia="zh-CN"/>
        </w:rPr>
        <w:t>五、其他要求</w:t>
      </w:r>
    </w:p>
    <w:p w14:paraId="3DBCEAAD">
      <w:pPr>
        <w:ind w:firstLine="480" w:firstLineChars="200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lang w:val="en-US" w:eastAsia="zh-CN"/>
        </w:rPr>
        <w:t>1.付款条件：以双方签订合同为准。</w:t>
      </w:r>
    </w:p>
    <w:p w14:paraId="2EC32646">
      <w:pPr>
        <w:ind w:firstLine="480" w:firstLineChars="200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lang w:val="en-US" w:eastAsia="zh-CN"/>
        </w:rPr>
        <w:t>2.未尽事宜由详见合同约定。</w:t>
      </w:r>
    </w:p>
    <w:bookmarkEnd w:id="6"/>
    <w:bookmarkEnd w:id="7"/>
    <w:bookmarkEnd w:id="8"/>
    <w:p w14:paraId="578DC26D">
      <w:pPr>
        <w:spacing w:line="240" w:lineRule="auto"/>
        <w:ind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5109C4"/>
    <w:multiLevelType w:val="multilevel"/>
    <w:tmpl w:val="275109C4"/>
    <w:lvl w:ilvl="0" w:tentative="0">
      <w:start w:val="1"/>
      <w:numFmt w:val="chineseCountingThousand"/>
      <w:pStyle w:val="3"/>
      <w:lvlText w:val="第%1章"/>
      <w:lvlJc w:val="left"/>
      <w:pPr>
        <w:ind w:left="420" w:hanging="420"/>
      </w:pPr>
      <w:rPr>
        <w:rFonts w:hint="eastAsia"/>
      </w:rPr>
    </w:lvl>
    <w:lvl w:ilvl="1" w:tentative="0">
      <w:start w:val="1"/>
      <w:numFmt w:val="chineseCountingThousand"/>
      <w:lvlText w:val="%2、"/>
      <w:lvlJc w:val="left"/>
      <w:pPr>
        <w:ind w:left="3256" w:hanging="420"/>
      </w:pPr>
      <w:rPr>
        <w:rFonts w:hint="eastAsia"/>
        <w:b/>
      </w:rPr>
    </w:lvl>
    <w:lvl w:ilvl="2" w:tentative="0">
      <w:start w:val="1"/>
      <w:numFmt w:val="chineseCountingThousand"/>
      <w:lvlText w:val="（%3）"/>
      <w:lvlJc w:val="left"/>
      <w:pPr>
        <w:ind w:left="1260" w:hanging="420"/>
      </w:pPr>
      <w:rPr>
        <w:rFonts w:hint="eastAsia"/>
        <w:b/>
        <w:sz w:val="28"/>
        <w:szCs w:val="28"/>
        <w:lang w:val="en-US"/>
      </w:rPr>
    </w:lvl>
    <w:lvl w:ilvl="3" w:tentative="0">
      <w:start w:val="1"/>
      <w:numFmt w:val="decimal"/>
      <w:lvlText w:val="%4)"/>
      <w:lvlJc w:val="left"/>
      <w:pPr>
        <w:ind w:left="3114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